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F3B3" w14:textId="77777777" w:rsidR="00BB5325" w:rsidRPr="00E87605" w:rsidRDefault="00BB5325" w:rsidP="00BB5325">
      <w:pPr>
        <w:spacing w:after="120" w:line="240" w:lineRule="auto"/>
        <w:jc w:val="center"/>
        <w:rPr>
          <w:rFonts w:ascii="Arial Narrow" w:hAnsi="Arial Narrow" w:cs="Arial"/>
          <w:b/>
          <w:noProof/>
          <w:lang w:val="en-GB"/>
        </w:rPr>
      </w:pPr>
      <w:bookmarkStart w:id="0" w:name="_Hlk29888094"/>
      <w:r w:rsidRPr="00E87605">
        <w:rPr>
          <w:rFonts w:ascii="Arial Narrow" w:hAnsi="Arial Narrow" w:cs="Arial"/>
          <w:b/>
          <w:noProof/>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BB5325" w:rsidRPr="00E87605" w14:paraId="67425E89" w14:textId="77777777" w:rsidTr="001C05A7">
        <w:trPr>
          <w:trHeight w:val="405"/>
        </w:trPr>
        <w:tc>
          <w:tcPr>
            <w:tcW w:w="2810" w:type="dxa"/>
            <w:shd w:val="clear" w:color="auto" w:fill="D9D9D9"/>
            <w:vAlign w:val="center"/>
          </w:tcPr>
          <w:bookmarkEnd w:id="0"/>
          <w:p w14:paraId="594A1B47" w14:textId="77777777" w:rsidR="00BB5325" w:rsidRPr="00E87605" w:rsidRDefault="00BB5325" w:rsidP="001C05A7">
            <w:pPr>
              <w:keepNext/>
              <w:spacing w:after="0" w:line="240" w:lineRule="auto"/>
              <w:outlineLvl w:val="2"/>
              <w:rPr>
                <w:rFonts w:ascii="Arial Narrow" w:hAnsi="Arial Narrow" w:cs="Arial"/>
                <w:b/>
                <w:bCs/>
                <w:color w:val="000000"/>
                <w:lang w:val="en-GB"/>
              </w:rPr>
            </w:pPr>
            <w:r w:rsidRPr="00E87605">
              <w:rPr>
                <w:rFonts w:ascii="Arial Narrow" w:hAnsi="Arial Narrow" w:cs="Arial"/>
                <w:b/>
                <w:bCs/>
                <w:lang w:val="en-GB"/>
              </w:rPr>
              <w:t>Title of a course</w:t>
            </w:r>
          </w:p>
        </w:tc>
        <w:tc>
          <w:tcPr>
            <w:tcW w:w="6430" w:type="dxa"/>
            <w:gridSpan w:val="5"/>
            <w:shd w:val="clear" w:color="auto" w:fill="auto"/>
            <w:vAlign w:val="center"/>
          </w:tcPr>
          <w:p w14:paraId="0B055960" w14:textId="77777777" w:rsidR="00BB5325" w:rsidRPr="00E87605" w:rsidRDefault="00BB5325" w:rsidP="001C05A7">
            <w:pPr>
              <w:keepNext/>
              <w:spacing w:after="0" w:line="240" w:lineRule="auto"/>
              <w:outlineLvl w:val="2"/>
              <w:rPr>
                <w:rFonts w:ascii="Arial Narrow" w:hAnsi="Arial Narrow" w:cs="Arial"/>
                <w:b/>
                <w:bCs/>
                <w:lang w:val="en-GB"/>
              </w:rPr>
            </w:pPr>
            <w:r w:rsidRPr="00E87605">
              <w:rPr>
                <w:rFonts w:ascii="Arial Narrow" w:hAnsi="Arial Narrow" w:cs="Arial"/>
                <w:b/>
                <w:bCs/>
                <w:lang w:val="en-GB"/>
              </w:rPr>
              <w:t xml:space="preserve">Risk management in industry of hazardous substances </w:t>
            </w:r>
          </w:p>
        </w:tc>
      </w:tr>
      <w:tr w:rsidR="00BB5325" w:rsidRPr="00E87605" w14:paraId="3D8C11D6" w14:textId="77777777" w:rsidTr="001C05A7">
        <w:trPr>
          <w:trHeight w:val="405"/>
        </w:trPr>
        <w:tc>
          <w:tcPr>
            <w:tcW w:w="2810" w:type="dxa"/>
            <w:shd w:val="clear" w:color="auto" w:fill="D9D9D9"/>
            <w:vAlign w:val="center"/>
          </w:tcPr>
          <w:p w14:paraId="7831A37B" w14:textId="77777777" w:rsidR="00BB5325" w:rsidRPr="00E87605" w:rsidRDefault="00BB5325" w:rsidP="001C05A7">
            <w:pPr>
              <w:spacing w:after="0" w:line="240" w:lineRule="auto"/>
              <w:rPr>
                <w:rFonts w:ascii="Arial Narrow" w:hAnsi="Arial Narrow" w:cs="Arial"/>
                <w:b/>
                <w:bCs/>
                <w:lang w:val="en-GB"/>
              </w:rPr>
            </w:pPr>
            <w:r w:rsidRPr="00E87605">
              <w:rPr>
                <w:rFonts w:ascii="Arial Narrow" w:hAnsi="Arial Narrow" w:cs="Arial"/>
                <w:b/>
                <w:bCs/>
                <w:color w:val="000000"/>
                <w:lang w:val="en-GB"/>
              </w:rPr>
              <w:t xml:space="preserve">Study programme </w:t>
            </w:r>
          </w:p>
        </w:tc>
        <w:tc>
          <w:tcPr>
            <w:tcW w:w="6430" w:type="dxa"/>
            <w:gridSpan w:val="5"/>
            <w:vAlign w:val="center"/>
          </w:tcPr>
          <w:p w14:paraId="23598D3D" w14:textId="77777777" w:rsidR="00BB5325" w:rsidRPr="00E87605" w:rsidRDefault="00BB5325" w:rsidP="001C05A7">
            <w:pPr>
              <w:spacing w:after="0" w:line="240" w:lineRule="auto"/>
              <w:rPr>
                <w:rFonts w:ascii="Arial Narrow" w:hAnsi="Arial Narrow" w:cs="Arial"/>
                <w:b/>
                <w:bCs/>
                <w:lang w:val="en-GB"/>
              </w:rPr>
            </w:pPr>
            <w:r w:rsidRPr="00E87605">
              <w:rPr>
                <w:rFonts w:ascii="Arial Narrow" w:hAnsi="Arial Narrow" w:cs="Arial"/>
                <w:b/>
                <w:bCs/>
                <w:lang w:val="en-GB"/>
              </w:rPr>
              <w:t>Specialist professional graduate study Occupational Safety</w:t>
            </w:r>
          </w:p>
        </w:tc>
      </w:tr>
      <w:tr w:rsidR="00BB5325" w:rsidRPr="00E87605" w14:paraId="0606EA08" w14:textId="77777777" w:rsidTr="001C05A7">
        <w:trPr>
          <w:trHeight w:val="405"/>
        </w:trPr>
        <w:tc>
          <w:tcPr>
            <w:tcW w:w="2810" w:type="dxa"/>
            <w:shd w:val="clear" w:color="auto" w:fill="D9D9D9"/>
            <w:vAlign w:val="center"/>
          </w:tcPr>
          <w:p w14:paraId="41950CD1" w14:textId="77777777" w:rsidR="00BB5325" w:rsidRPr="00E87605" w:rsidRDefault="00BB5325" w:rsidP="001C05A7">
            <w:pPr>
              <w:spacing w:after="0" w:line="240" w:lineRule="auto"/>
              <w:rPr>
                <w:rFonts w:ascii="Arial Narrow" w:hAnsi="Arial Narrow" w:cs="Arial"/>
                <w:b/>
                <w:bCs/>
                <w:lang w:val="en-GB"/>
              </w:rPr>
            </w:pPr>
            <w:r w:rsidRPr="00E87605">
              <w:rPr>
                <w:rFonts w:ascii="Arial Narrow" w:hAnsi="Arial Narrow" w:cs="Arial"/>
                <w:b/>
                <w:bCs/>
                <w:color w:val="000000"/>
                <w:lang w:val="en-GB"/>
              </w:rPr>
              <w:t>Status of a course</w:t>
            </w:r>
          </w:p>
        </w:tc>
        <w:tc>
          <w:tcPr>
            <w:tcW w:w="6430" w:type="dxa"/>
            <w:gridSpan w:val="5"/>
            <w:vAlign w:val="center"/>
          </w:tcPr>
          <w:p w14:paraId="0E19921C" w14:textId="77777777" w:rsidR="00BB5325" w:rsidRPr="00E87605" w:rsidRDefault="00BB5325" w:rsidP="001C05A7">
            <w:pPr>
              <w:spacing w:after="0" w:line="240" w:lineRule="auto"/>
              <w:rPr>
                <w:rFonts w:ascii="Arial Narrow" w:hAnsi="Arial Narrow" w:cs="Arial"/>
                <w:i/>
                <w:color w:val="FF0000"/>
                <w:lang w:val="en-GB"/>
              </w:rPr>
            </w:pPr>
            <w:r w:rsidRPr="00E87605">
              <w:rPr>
                <w:rFonts w:ascii="Arial Narrow" w:hAnsi="Arial Narrow" w:cs="Arial"/>
                <w:lang w:val="en-GB"/>
              </w:rPr>
              <w:t xml:space="preserve">Obligatory </w:t>
            </w:r>
          </w:p>
        </w:tc>
      </w:tr>
      <w:tr w:rsidR="00BB5325" w:rsidRPr="00E87605" w14:paraId="6B2AB6FE" w14:textId="77777777" w:rsidTr="001C05A7">
        <w:trPr>
          <w:trHeight w:val="405"/>
        </w:trPr>
        <w:tc>
          <w:tcPr>
            <w:tcW w:w="2810" w:type="dxa"/>
            <w:shd w:val="clear" w:color="auto" w:fill="D9D9D9"/>
            <w:vAlign w:val="center"/>
          </w:tcPr>
          <w:p w14:paraId="524CEEAD" w14:textId="77777777" w:rsidR="00BB5325" w:rsidRPr="00E87605" w:rsidRDefault="00BB5325" w:rsidP="001C05A7">
            <w:pPr>
              <w:spacing w:after="0" w:line="240" w:lineRule="auto"/>
              <w:rPr>
                <w:rFonts w:ascii="Arial Narrow" w:hAnsi="Arial Narrow" w:cs="Arial"/>
                <w:b/>
                <w:bCs/>
                <w:color w:val="000000"/>
                <w:lang w:val="en-GB"/>
              </w:rPr>
            </w:pPr>
            <w:r w:rsidRPr="00E87605">
              <w:rPr>
                <w:rFonts w:ascii="Arial Narrow" w:hAnsi="Arial Narrow" w:cs="Arial"/>
                <w:b/>
                <w:bCs/>
                <w:color w:val="000000"/>
                <w:lang w:val="en-GB"/>
              </w:rPr>
              <w:t>Year of study</w:t>
            </w:r>
          </w:p>
        </w:tc>
        <w:tc>
          <w:tcPr>
            <w:tcW w:w="479" w:type="dxa"/>
            <w:vAlign w:val="center"/>
          </w:tcPr>
          <w:p w14:paraId="6C6D3E68" w14:textId="77777777" w:rsidR="00BB5325" w:rsidRPr="00E87605" w:rsidRDefault="00BB5325" w:rsidP="001C05A7">
            <w:pPr>
              <w:spacing w:after="0" w:line="240" w:lineRule="auto"/>
              <w:rPr>
                <w:rFonts w:ascii="Arial Narrow" w:hAnsi="Arial Narrow" w:cs="Arial"/>
                <w:lang w:val="en-GB"/>
              </w:rPr>
            </w:pPr>
            <w:r w:rsidRPr="00E87605">
              <w:rPr>
                <w:rFonts w:ascii="Arial Narrow" w:hAnsi="Arial Narrow" w:cs="Arial"/>
                <w:lang w:val="en-GB"/>
              </w:rPr>
              <w:t>2.</w:t>
            </w:r>
          </w:p>
        </w:tc>
        <w:tc>
          <w:tcPr>
            <w:tcW w:w="2000" w:type="dxa"/>
            <w:shd w:val="clear" w:color="auto" w:fill="D9D9D9"/>
            <w:vAlign w:val="center"/>
          </w:tcPr>
          <w:p w14:paraId="36001AA3" w14:textId="77777777" w:rsidR="00BB5325" w:rsidRPr="00E87605" w:rsidRDefault="00BB5325" w:rsidP="001C05A7">
            <w:pPr>
              <w:spacing w:after="0" w:line="240" w:lineRule="auto"/>
              <w:rPr>
                <w:rFonts w:ascii="Arial Narrow" w:hAnsi="Arial Narrow" w:cs="Arial"/>
                <w:b/>
                <w:bCs/>
                <w:lang w:val="en-GB"/>
              </w:rPr>
            </w:pPr>
            <w:r w:rsidRPr="00E87605">
              <w:rPr>
                <w:rFonts w:ascii="Arial Narrow" w:hAnsi="Arial Narrow" w:cs="Arial"/>
                <w:b/>
                <w:bCs/>
                <w:lang w:val="en-GB"/>
              </w:rPr>
              <w:t>Semester</w:t>
            </w:r>
          </w:p>
        </w:tc>
        <w:tc>
          <w:tcPr>
            <w:tcW w:w="667" w:type="dxa"/>
            <w:vAlign w:val="center"/>
          </w:tcPr>
          <w:p w14:paraId="3D0AA69F" w14:textId="77777777" w:rsidR="00BB5325" w:rsidRPr="00E87605" w:rsidRDefault="00BB5325" w:rsidP="001C05A7">
            <w:pPr>
              <w:spacing w:after="0" w:line="240" w:lineRule="auto"/>
              <w:rPr>
                <w:rFonts w:ascii="Arial Narrow" w:hAnsi="Arial Narrow" w:cs="Arial"/>
                <w:lang w:val="en-GB"/>
              </w:rPr>
            </w:pPr>
            <w:r w:rsidRPr="00E87605">
              <w:rPr>
                <w:rFonts w:ascii="Arial Narrow" w:hAnsi="Arial Narrow" w:cs="Arial"/>
                <w:lang w:val="en-GB"/>
              </w:rPr>
              <w:t>W</w:t>
            </w:r>
          </w:p>
        </w:tc>
        <w:tc>
          <w:tcPr>
            <w:tcW w:w="2459" w:type="dxa"/>
            <w:shd w:val="clear" w:color="auto" w:fill="D9D9D9"/>
            <w:vAlign w:val="center"/>
          </w:tcPr>
          <w:p w14:paraId="5CA6FF92" w14:textId="77777777" w:rsidR="00BB5325" w:rsidRPr="00E87605" w:rsidRDefault="00BB5325" w:rsidP="001C05A7">
            <w:pPr>
              <w:spacing w:after="0" w:line="240" w:lineRule="auto"/>
              <w:rPr>
                <w:rFonts w:ascii="Arial Narrow" w:hAnsi="Arial Narrow" w:cs="Arial"/>
                <w:b/>
                <w:bCs/>
                <w:lang w:val="en-GB"/>
              </w:rPr>
            </w:pPr>
            <w:r w:rsidRPr="00E87605">
              <w:rPr>
                <w:rFonts w:ascii="Arial Narrow" w:hAnsi="Arial Narrow" w:cs="Arial"/>
                <w:b/>
                <w:bCs/>
                <w:lang w:val="en-GB"/>
              </w:rPr>
              <w:t>ECTS credits</w:t>
            </w:r>
          </w:p>
        </w:tc>
        <w:tc>
          <w:tcPr>
            <w:tcW w:w="825" w:type="dxa"/>
            <w:vAlign w:val="center"/>
          </w:tcPr>
          <w:p w14:paraId="0DA76DC4" w14:textId="77777777" w:rsidR="00BB5325" w:rsidRPr="00E87605" w:rsidRDefault="00BB5325" w:rsidP="001C05A7">
            <w:pPr>
              <w:spacing w:after="0" w:line="240" w:lineRule="auto"/>
              <w:rPr>
                <w:rFonts w:ascii="Arial Narrow" w:hAnsi="Arial Narrow" w:cs="Arial"/>
                <w:lang w:val="en-GB"/>
              </w:rPr>
            </w:pPr>
            <w:r w:rsidRPr="00E87605">
              <w:rPr>
                <w:rFonts w:ascii="Arial Narrow" w:hAnsi="Arial Narrow" w:cs="Arial"/>
                <w:lang w:val="en-GB"/>
              </w:rPr>
              <w:t>5</w:t>
            </w:r>
          </w:p>
        </w:tc>
      </w:tr>
      <w:tr w:rsidR="00BB5325" w:rsidRPr="00E87605" w14:paraId="3D22EC5D" w14:textId="77777777" w:rsidTr="001C05A7">
        <w:trPr>
          <w:trHeight w:val="566"/>
        </w:trPr>
        <w:tc>
          <w:tcPr>
            <w:tcW w:w="2810" w:type="dxa"/>
            <w:shd w:val="clear" w:color="auto" w:fill="D9D9D9"/>
            <w:vAlign w:val="center"/>
          </w:tcPr>
          <w:p w14:paraId="60BB105A" w14:textId="77777777" w:rsidR="00BB5325" w:rsidRPr="00E87605" w:rsidRDefault="00BB5325" w:rsidP="001C05A7">
            <w:pPr>
              <w:spacing w:after="0" w:line="240" w:lineRule="auto"/>
              <w:rPr>
                <w:rFonts w:ascii="Arial Narrow" w:hAnsi="Arial Narrow" w:cs="Arial"/>
                <w:b/>
                <w:bCs/>
                <w:color w:val="000000"/>
                <w:lang w:val="en-GB"/>
              </w:rPr>
            </w:pPr>
            <w:r w:rsidRPr="00E87605">
              <w:rPr>
                <w:rFonts w:ascii="Arial Narrow" w:hAnsi="Arial Narrow" w:cs="Arial"/>
                <w:b/>
                <w:bCs/>
                <w:color w:val="000000"/>
                <w:lang w:val="en-GB"/>
              </w:rPr>
              <w:t xml:space="preserve">Teaching plan </w:t>
            </w:r>
          </w:p>
          <w:p w14:paraId="036F440F" w14:textId="77777777" w:rsidR="00BB5325" w:rsidRPr="00E87605" w:rsidRDefault="00BB5325" w:rsidP="001C05A7">
            <w:pPr>
              <w:spacing w:after="0" w:line="240" w:lineRule="auto"/>
              <w:rPr>
                <w:rFonts w:ascii="Arial Narrow" w:hAnsi="Arial Narrow" w:cs="Arial"/>
                <w:b/>
                <w:bCs/>
                <w:color w:val="000000"/>
                <w:lang w:val="en-GB"/>
              </w:rPr>
            </w:pPr>
            <w:r w:rsidRPr="00E87605">
              <w:rPr>
                <w:rFonts w:ascii="Arial Narrow" w:hAnsi="Arial Narrow" w:cs="Arial"/>
                <w:b/>
                <w:bCs/>
                <w:color w:val="000000"/>
                <w:lang w:val="en-GB"/>
              </w:rPr>
              <w:t xml:space="preserve">(L + E + S+ </w:t>
            </w:r>
            <w:proofErr w:type="spellStart"/>
            <w:r w:rsidRPr="00E87605">
              <w:rPr>
                <w:rFonts w:ascii="Arial Narrow" w:hAnsi="Arial Narrow" w:cs="Arial"/>
                <w:b/>
                <w:bCs/>
                <w:color w:val="000000"/>
                <w:lang w:val="en-GB"/>
              </w:rPr>
              <w:t>Pr</w:t>
            </w:r>
            <w:proofErr w:type="spellEnd"/>
            <w:r w:rsidRPr="00E87605">
              <w:rPr>
                <w:rFonts w:ascii="Arial Narrow" w:hAnsi="Arial Narrow" w:cs="Arial"/>
                <w:b/>
                <w:bCs/>
                <w:color w:val="000000"/>
                <w:lang w:val="en-GB"/>
              </w:rPr>
              <w:t>)</w:t>
            </w:r>
          </w:p>
        </w:tc>
        <w:tc>
          <w:tcPr>
            <w:tcW w:w="6430" w:type="dxa"/>
            <w:gridSpan w:val="5"/>
            <w:vAlign w:val="center"/>
          </w:tcPr>
          <w:p w14:paraId="5E92B47C" w14:textId="77777777" w:rsidR="00BB5325" w:rsidRPr="00E87605" w:rsidRDefault="00BB5325" w:rsidP="001C05A7">
            <w:pPr>
              <w:spacing w:after="0" w:line="240" w:lineRule="auto"/>
              <w:jc w:val="center"/>
              <w:rPr>
                <w:rFonts w:ascii="Arial Narrow" w:hAnsi="Arial Narrow" w:cs="Arial"/>
                <w:lang w:val="en-GB"/>
              </w:rPr>
            </w:pPr>
            <w:r w:rsidRPr="00E87605">
              <w:rPr>
                <w:rFonts w:ascii="Arial Narrow" w:hAnsi="Arial Narrow" w:cs="Arial"/>
                <w:lang w:val="en-GB"/>
              </w:rPr>
              <w:t>2+1+1</w:t>
            </w:r>
          </w:p>
        </w:tc>
      </w:tr>
      <w:tr w:rsidR="00BB5325" w:rsidRPr="00E87605" w14:paraId="1310370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vAlign w:val="center"/>
          </w:tcPr>
          <w:p w14:paraId="7FD2742A" w14:textId="77777777" w:rsidR="00BB5325" w:rsidRPr="00E87605" w:rsidRDefault="00BB5325" w:rsidP="001C05A7">
            <w:pPr>
              <w:spacing w:after="0" w:line="240" w:lineRule="auto"/>
              <w:contextualSpacing/>
              <w:rPr>
                <w:rFonts w:ascii="Arial Narrow" w:hAnsi="Arial Narrow"/>
                <w:b/>
                <w:color w:val="000000"/>
                <w:lang w:val="en-GB"/>
              </w:rPr>
            </w:pPr>
            <w:r w:rsidRPr="00E87605">
              <w:rPr>
                <w:rFonts w:ascii="Arial Narrow" w:hAnsi="Arial Narrow"/>
                <w:b/>
                <w:color w:val="000000"/>
                <w:lang w:val="en-GB"/>
              </w:rPr>
              <w:t>Goals of a course</w:t>
            </w:r>
          </w:p>
          <w:p w14:paraId="47BF5AEE" w14:textId="77777777" w:rsidR="00BB5325" w:rsidRPr="00E87605" w:rsidRDefault="00BB5325" w:rsidP="001C05A7">
            <w:pPr>
              <w:keepNext/>
              <w:spacing w:after="0" w:line="240" w:lineRule="auto"/>
              <w:outlineLvl w:val="2"/>
              <w:rPr>
                <w:rFonts w:ascii="Arial Narrow" w:hAnsi="Arial Narrow" w:cs="Arial"/>
                <w:b/>
                <w:bCs/>
                <w:color w:val="000000"/>
                <w:lang w:val="en-GB"/>
              </w:rPr>
            </w:pPr>
          </w:p>
        </w:tc>
      </w:tr>
      <w:tr w:rsidR="00BB5325" w:rsidRPr="00E87605" w14:paraId="18D92B3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01CB859" w14:textId="77777777" w:rsidR="00BB5325" w:rsidRPr="00E87605" w:rsidRDefault="00BB5325" w:rsidP="001C05A7">
            <w:pPr>
              <w:spacing w:after="0" w:line="240" w:lineRule="auto"/>
              <w:jc w:val="both"/>
              <w:rPr>
                <w:rFonts w:ascii="Arial Narrow" w:hAnsi="Arial Narrow"/>
                <w:lang w:val="en-GB"/>
              </w:rPr>
            </w:pPr>
            <w:r w:rsidRPr="00E87605">
              <w:rPr>
                <w:rFonts w:ascii="Arial Narrow" w:hAnsi="Arial Narrow"/>
                <w:lang w:val="en-GB"/>
              </w:rPr>
              <w:t>Introduce students to hazardous substances in process industry and recommend risk mitigation measures through risk assessment.</w:t>
            </w:r>
          </w:p>
        </w:tc>
      </w:tr>
      <w:tr w:rsidR="00BB5325" w:rsidRPr="00E87605" w14:paraId="22D9CD3F"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vAlign w:val="center"/>
          </w:tcPr>
          <w:p w14:paraId="5E5C9535" w14:textId="77777777" w:rsidR="00BB5325" w:rsidRPr="00E87605" w:rsidRDefault="00BB5325" w:rsidP="001C05A7">
            <w:pPr>
              <w:spacing w:after="0" w:line="240" w:lineRule="auto"/>
              <w:contextualSpacing/>
              <w:rPr>
                <w:rFonts w:ascii="Arial Narrow" w:hAnsi="Arial Narrow"/>
                <w:b/>
                <w:color w:val="000000"/>
                <w:lang w:val="en-GB"/>
              </w:rPr>
            </w:pPr>
            <w:r w:rsidRPr="00E87605">
              <w:rPr>
                <w:rFonts w:ascii="Arial Narrow" w:hAnsi="Arial Narrow"/>
                <w:b/>
                <w:color w:val="000000"/>
                <w:shd w:val="clear" w:color="auto" w:fill="D9D9D9"/>
                <w:lang w:val="en-GB"/>
              </w:rPr>
              <w:t xml:space="preserve">Conditions for enrolling course </w:t>
            </w:r>
          </w:p>
          <w:p w14:paraId="20D4E820" w14:textId="77777777" w:rsidR="00BB5325" w:rsidRPr="00E87605" w:rsidRDefault="00BB5325" w:rsidP="001C05A7">
            <w:pPr>
              <w:spacing w:after="0" w:line="240" w:lineRule="auto"/>
              <w:contextualSpacing/>
              <w:rPr>
                <w:rFonts w:ascii="Arial Narrow" w:hAnsi="Arial Narrow"/>
                <w:b/>
                <w:color w:val="000000"/>
                <w:lang w:val="en-GB"/>
              </w:rPr>
            </w:pPr>
          </w:p>
        </w:tc>
      </w:tr>
      <w:tr w:rsidR="00BB5325" w:rsidRPr="00E87605" w14:paraId="5BC3FD52"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A3B784" w14:textId="77777777" w:rsidR="00BB5325" w:rsidRPr="00E87605" w:rsidRDefault="00BB5325" w:rsidP="001C05A7">
            <w:pPr>
              <w:spacing w:after="0" w:line="240" w:lineRule="auto"/>
              <w:jc w:val="both"/>
              <w:rPr>
                <w:rFonts w:ascii="Arial Narrow" w:hAnsi="Arial Narrow"/>
                <w:lang w:val="en-GB"/>
              </w:rPr>
            </w:pPr>
            <w:r w:rsidRPr="00E87605">
              <w:rPr>
                <w:rFonts w:ascii="Arial Narrow" w:hAnsi="Arial Narrow"/>
                <w:lang w:val="en-GB"/>
              </w:rPr>
              <w:t>No conditions</w:t>
            </w:r>
          </w:p>
        </w:tc>
      </w:tr>
      <w:tr w:rsidR="00BB5325" w:rsidRPr="00E87605" w14:paraId="33004D2F"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vAlign w:val="center"/>
          </w:tcPr>
          <w:p w14:paraId="08DA1FBD" w14:textId="77777777" w:rsidR="00BB5325" w:rsidRPr="00E87605" w:rsidRDefault="00BB5325" w:rsidP="001C05A7">
            <w:pPr>
              <w:spacing w:after="0" w:line="240" w:lineRule="auto"/>
              <w:contextualSpacing/>
              <w:rPr>
                <w:rFonts w:ascii="Arial Narrow" w:hAnsi="Arial Narrow" w:cs="Arial"/>
                <w:b/>
                <w:bCs/>
                <w:color w:val="000000"/>
                <w:lang w:val="en-GB"/>
              </w:rPr>
            </w:pPr>
            <w:r w:rsidRPr="00E87605">
              <w:rPr>
                <w:rFonts w:ascii="Arial Narrow" w:hAnsi="Arial Narrow"/>
                <w:b/>
                <w:color w:val="000000"/>
                <w:lang w:val="en-GB"/>
              </w:rPr>
              <w:t xml:space="preserve">Expected learning outcomes on a level of a course </w:t>
            </w:r>
          </w:p>
        </w:tc>
      </w:tr>
      <w:tr w:rsidR="00BB5325" w:rsidRPr="00E87605" w14:paraId="3BD6250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9DCE68" w14:textId="77777777" w:rsidR="00BB5325" w:rsidRPr="00E87605" w:rsidRDefault="00BB5325" w:rsidP="00BB5325">
            <w:pPr>
              <w:pStyle w:val="Odlomakpopisa"/>
              <w:numPr>
                <w:ilvl w:val="0"/>
                <w:numId w:val="1"/>
              </w:numPr>
              <w:spacing w:after="0" w:line="240" w:lineRule="auto"/>
              <w:rPr>
                <w:rFonts w:ascii="Arial Narrow" w:hAnsi="Arial Narrow"/>
                <w:lang w:val="en-GB"/>
              </w:rPr>
            </w:pPr>
            <w:r w:rsidRPr="00E87605">
              <w:rPr>
                <w:rFonts w:ascii="Arial Narrow" w:hAnsi="Arial Narrow"/>
                <w:lang w:val="en-GB"/>
              </w:rPr>
              <w:t>Identify and analyse the physical and chemical characteristics of hazardous substances at a specific workplace or plant.</w:t>
            </w:r>
          </w:p>
          <w:p w14:paraId="1A042674" w14:textId="77777777" w:rsidR="00BB5325" w:rsidRPr="00E87605" w:rsidRDefault="00BB5325" w:rsidP="00BB5325">
            <w:pPr>
              <w:pStyle w:val="Odlomakpopisa"/>
              <w:numPr>
                <w:ilvl w:val="0"/>
                <w:numId w:val="1"/>
              </w:numPr>
              <w:spacing w:after="0" w:line="240" w:lineRule="auto"/>
              <w:rPr>
                <w:rFonts w:ascii="Arial Narrow" w:hAnsi="Arial Narrow"/>
                <w:lang w:val="en-GB"/>
              </w:rPr>
            </w:pPr>
            <w:r w:rsidRPr="00E87605">
              <w:rPr>
                <w:rFonts w:ascii="Arial Narrow" w:hAnsi="Arial Narrow"/>
                <w:lang w:val="en-GB"/>
              </w:rPr>
              <w:t>Recommend a qualitative or quantitative method of risk assessment, depending on the type of industry or type of hazard.</w:t>
            </w:r>
          </w:p>
          <w:p w14:paraId="2C43EC3C" w14:textId="77777777" w:rsidR="00BB5325" w:rsidRPr="00E87605" w:rsidRDefault="00BB5325" w:rsidP="00BB5325">
            <w:pPr>
              <w:pStyle w:val="Odlomakpopisa"/>
              <w:numPr>
                <w:ilvl w:val="0"/>
                <w:numId w:val="1"/>
              </w:numPr>
              <w:spacing w:after="0" w:line="240" w:lineRule="auto"/>
              <w:rPr>
                <w:rFonts w:ascii="Arial Narrow" w:hAnsi="Arial Narrow"/>
                <w:lang w:val="en-GB"/>
              </w:rPr>
            </w:pPr>
            <w:r w:rsidRPr="00E87605">
              <w:rPr>
                <w:rFonts w:ascii="Arial Narrow" w:hAnsi="Arial Narrow"/>
                <w:lang w:val="en-GB"/>
              </w:rPr>
              <w:t>Prepare simpler risk assessments by one of the qualitative and quantitative risk assessment methods.</w:t>
            </w:r>
          </w:p>
          <w:p w14:paraId="44CA8733" w14:textId="77777777" w:rsidR="00BB5325" w:rsidRPr="00E87605" w:rsidRDefault="00BB5325" w:rsidP="00BB5325">
            <w:pPr>
              <w:pStyle w:val="Odlomakpopisa"/>
              <w:numPr>
                <w:ilvl w:val="0"/>
                <w:numId w:val="1"/>
              </w:numPr>
              <w:spacing w:after="0" w:line="240" w:lineRule="auto"/>
              <w:rPr>
                <w:rFonts w:ascii="Arial Narrow" w:hAnsi="Arial Narrow"/>
                <w:lang w:val="en-GB"/>
              </w:rPr>
            </w:pPr>
            <w:r w:rsidRPr="00E87605">
              <w:rPr>
                <w:rFonts w:ascii="Arial Narrow" w:hAnsi="Arial Narrow"/>
                <w:lang w:val="en-GB"/>
              </w:rPr>
              <w:t>Evaluate the impact of the human factor in risk assessment methods.</w:t>
            </w:r>
          </w:p>
          <w:p w14:paraId="28B17B5B" w14:textId="77777777" w:rsidR="00BB5325" w:rsidRPr="00E87605" w:rsidRDefault="00BB5325" w:rsidP="00BB5325">
            <w:pPr>
              <w:pStyle w:val="Odlomakpopisa"/>
              <w:numPr>
                <w:ilvl w:val="0"/>
                <w:numId w:val="1"/>
              </w:numPr>
              <w:spacing w:after="0" w:line="240" w:lineRule="auto"/>
              <w:rPr>
                <w:rFonts w:ascii="Arial Narrow" w:hAnsi="Arial Narrow"/>
                <w:lang w:val="en-GB"/>
              </w:rPr>
            </w:pPr>
            <w:r w:rsidRPr="00E87605">
              <w:rPr>
                <w:rFonts w:ascii="Arial Narrow" w:hAnsi="Arial Narrow"/>
                <w:lang w:val="en-GB"/>
              </w:rPr>
              <w:t>Provide the necessary measures to reduce risks from the unacceptable level to the acceptable level.</w:t>
            </w:r>
          </w:p>
        </w:tc>
      </w:tr>
      <w:tr w:rsidR="00BB5325" w:rsidRPr="00E87605" w14:paraId="0CB1C486"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vAlign w:val="center"/>
          </w:tcPr>
          <w:p w14:paraId="21567420" w14:textId="77777777" w:rsidR="00BB5325" w:rsidRPr="00E87605" w:rsidRDefault="00BB5325" w:rsidP="001C05A7">
            <w:pPr>
              <w:spacing w:after="0" w:line="240" w:lineRule="auto"/>
              <w:jc w:val="both"/>
              <w:rPr>
                <w:rFonts w:ascii="Arial Narrow" w:hAnsi="Arial Narrow"/>
                <w:b/>
                <w:color w:val="000000"/>
                <w:lang w:val="en-GB"/>
              </w:rPr>
            </w:pPr>
            <w:r w:rsidRPr="00E87605">
              <w:rPr>
                <w:rFonts w:ascii="Arial Narrow" w:hAnsi="Arial Narrow"/>
                <w:b/>
                <w:color w:val="000000"/>
                <w:lang w:val="en-GB"/>
              </w:rPr>
              <w:t>Content of a course</w:t>
            </w:r>
          </w:p>
        </w:tc>
      </w:tr>
      <w:tr w:rsidR="00BB5325" w:rsidRPr="00E87605" w14:paraId="43CA4986"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ACCF471" w14:textId="77777777" w:rsidR="00BB5325" w:rsidRPr="00E87605" w:rsidRDefault="00BB5325" w:rsidP="001C05A7">
            <w:pPr>
              <w:autoSpaceDE w:val="0"/>
              <w:autoSpaceDN w:val="0"/>
              <w:adjustRightInd w:val="0"/>
              <w:spacing w:after="0" w:line="240" w:lineRule="auto"/>
              <w:jc w:val="both"/>
              <w:rPr>
                <w:rFonts w:ascii="Arial Narrow" w:hAnsi="Arial Narrow" w:cs="CIDFont+F1"/>
                <w:lang w:val="en-GB"/>
              </w:rPr>
            </w:pPr>
            <w:r w:rsidRPr="00E87605">
              <w:rPr>
                <w:rFonts w:ascii="Arial Narrow" w:hAnsi="Arial Narrow" w:cs="CIDFont+F1"/>
                <w:lang w:val="en-GB"/>
              </w:rPr>
              <w:t xml:space="preserve">Physical and chemical characteristics of dangerous substances in process industry. Toxicology (informatively). Flammable liquids. Flammable and explosive gasses. Difference in approach to storage and processing of liquefied gasses (interdependence between temperature and pressure of stems) and liquefied cool gasses. Critical temperature, critical pressure, content of a heat, temperature of boiling, behaviour in fire and dispersion in working environment. Approach to work with toxic and aggressive working substances. Reactive chemicals. Technical measures of protection. Basic rules of protection. Systems for detection and prevention. Special rules of protection in handling hazardous substances. Personal and collective protective means and equipment. Approach to analysis of work positions with special work conditions. </w:t>
            </w:r>
          </w:p>
        </w:tc>
      </w:tr>
      <w:tr w:rsidR="00BB5325" w:rsidRPr="00E87605" w14:paraId="6271237F"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273758B" w14:textId="77777777" w:rsidR="00BB5325" w:rsidRPr="00E87605" w:rsidRDefault="00BB5325" w:rsidP="001C05A7">
            <w:pPr>
              <w:spacing w:after="0" w:line="240" w:lineRule="auto"/>
              <w:jc w:val="both"/>
              <w:rPr>
                <w:rFonts w:ascii="Arial Narrow" w:hAnsi="Arial Narrow"/>
                <w:b/>
                <w:vanish/>
                <w:lang w:val="en-GB"/>
              </w:rPr>
            </w:pPr>
          </w:p>
        </w:tc>
      </w:tr>
    </w:tbl>
    <w:p w14:paraId="296B9C59" w14:textId="77777777" w:rsidR="00BB5325" w:rsidRDefault="00BB5325" w:rsidP="00BB5325">
      <w:pPr>
        <w:rPr>
          <w:rFonts w:ascii="Arial Narrow" w:hAnsi="Arial Narrow" w:cs="Arial"/>
          <w:i/>
          <w:color w:val="FF0000"/>
        </w:rPr>
      </w:pPr>
    </w:p>
    <w:p w14:paraId="402FA4E3" w14:textId="77777777" w:rsidR="00BA3377" w:rsidRDefault="00BA3377"/>
    <w:sectPr w:rsidR="00BA3377" w:rsidSect="00E87605">
      <w:pgSz w:w="11906" w:h="16838"/>
      <w:pgMar w:top="1418" w:right="1418" w:bottom="1418"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93568A"/>
    <w:multiLevelType w:val="hybridMultilevel"/>
    <w:tmpl w:val="776CDE5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54271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25"/>
    <w:rsid w:val="00764E77"/>
    <w:rsid w:val="00AA5554"/>
    <w:rsid w:val="00BA3377"/>
    <w:rsid w:val="00BB5325"/>
    <w:rsid w:val="00F452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600"/>
  <w15:chartTrackingRefBased/>
  <w15:docId w15:val="{549524B8-41B6-46C1-9B3A-9E57989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2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B532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Ribarić Čučković</dc:creator>
  <cp:keywords/>
  <dc:description/>
  <cp:lastModifiedBy>Eda Ribarić Čučković</cp:lastModifiedBy>
  <cp:revision>2</cp:revision>
  <dcterms:created xsi:type="dcterms:W3CDTF">2023-06-26T21:10:00Z</dcterms:created>
  <dcterms:modified xsi:type="dcterms:W3CDTF">2023-06-26T21:10:00Z</dcterms:modified>
</cp:coreProperties>
</file>